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Показатели эффективности работы сотрудника кафедры</w:t>
      </w:r>
      <w:r>
        <w:rPr>
          <w:rFonts w:ascii="Times New Roman" w:hAnsi="Times New Roman"/>
        </w:rPr>
        <w:t xml:space="preserve"> __________</w:t>
      </w:r>
      <w:bookmarkStart w:id="1" w:name="_GoBack"/>
      <w:bookmarkEnd w:id="1"/>
      <w:r>
        <w:rPr>
          <w:rFonts w:ascii="Times New Roman" w:hAnsi="Times New Roman"/>
        </w:rPr>
        <w:t>_</w:t>
      </w:r>
    </w:p>
    <w:p w14:paraId="02000000">
      <w:pPr>
        <w:spacing w:after="0"/>
        <w:ind/>
        <w:jc w:val="right"/>
      </w:pPr>
      <w:r>
        <w:t>__________________________________________________</w:t>
      </w:r>
      <w:r>
        <w:t>______________________                                                __________________________</w:t>
      </w:r>
    </w:p>
    <w:p w14:paraId="03000000">
      <w:pPr>
        <w:spacing w:after="0"/>
        <w:ind w:right="-598"/>
        <w:jc w:val="right"/>
        <w:rPr>
          <w:sz w:val="18"/>
        </w:rPr>
      </w:pPr>
      <w:r>
        <w:rPr>
          <w:sz w:val="18"/>
        </w:rPr>
        <w:t>(ФИО)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(доля ставки </w:t>
      </w:r>
      <w:r>
        <w:rPr>
          <w:b w:val="1"/>
          <w:sz w:val="18"/>
        </w:rPr>
        <w:t>по эффективному контракту</w:t>
      </w:r>
      <w:r>
        <w:rPr>
          <w:sz w:val="18"/>
        </w:rPr>
        <w:t xml:space="preserve"> – при наличии)</w:t>
      </w:r>
    </w:p>
    <w:tbl>
      <w:tblPr>
        <w:tblStyle w:val="Style_1"/>
        <w:tblpPr w:bottomFromText="0" w:horzAnchor="text" w:leftFromText="180" w:rightFromText="180" w:tblpXSpec="left" w:tblpY="1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642"/>
        <w:gridCol w:w="1843"/>
        <w:gridCol w:w="1984"/>
        <w:gridCol w:w="1276"/>
        <w:gridCol w:w="2127"/>
      </w:tblGrid>
      <w:tr>
        <w:trPr>
          <w:trHeight w:hRule="atLeast" w:val="274"/>
          <w:tblHeader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Баллы ЭК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Верифицирующее лицо, структурное подразделение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Балл </w:t>
            </w:r>
            <w:r>
              <w:rPr>
                <w:rFonts w:ascii="Times New Roman" w:hAnsi="Times New Roman"/>
              </w:rPr>
              <w:t>препода-вателя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Комментарии</w:t>
            </w:r>
          </w:p>
        </w:tc>
      </w:tr>
      <w:tr>
        <w:trPr>
          <w:trHeight w:hRule="atLeast" w:val="309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работе советов, рабочих групп и т.д. </w:t>
            </w:r>
            <w:r>
              <w:rPr>
                <w:rFonts w:ascii="Times New Roman" w:hAnsi="Times New Roman"/>
                <w:sz w:val="24"/>
              </w:rPr>
              <w:t>Минобрнауки</w:t>
            </w:r>
            <w:r>
              <w:rPr>
                <w:rFonts w:ascii="Times New Roman" w:hAnsi="Times New Roman"/>
                <w:sz w:val="24"/>
              </w:rPr>
              <w:t>, ФУМО,  экспертных советов ВАК, Президиума ВАК, рабочих группах Консорциума аэрокосмических вузов России (КАК ВР), рабочих группах научных и научно-образовательных центров мирового уровня (НЦМУ, НОЦ МУ)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Проректор по образовательной деятельности и </w:t>
            </w:r>
            <w:r>
              <w:rPr>
                <w:rFonts w:ascii="Times New Roman" w:hAnsi="Times New Roman"/>
                <w:sz w:val="20"/>
              </w:rPr>
              <w:t>цифровизации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273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работе ученого совета университета или факультета, научно-технического совета университета в качестве:</w:t>
            </w:r>
          </w:p>
          <w:p w14:paraId="0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председателя </w:t>
            </w:r>
          </w:p>
          <w:p w14:paraId="1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заместителя председателя</w:t>
            </w:r>
          </w:p>
          <w:p w14:paraId="1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ученого секретаря</w:t>
            </w:r>
          </w:p>
          <w:p w14:paraId="1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председателя комиссий ученого совета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Первый проректор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559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преподавателей, выполняющих обязанности руководителя магистерской программы:</w:t>
            </w:r>
          </w:p>
          <w:p w14:paraId="1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группа до 10 чел., обучающихся за счет бюджетных ассигнований </w:t>
            </w:r>
          </w:p>
          <w:p w14:paraId="1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 каждые 5 обучающихся по договорам об оказании платных образовательных услуг</w:t>
            </w:r>
          </w:p>
          <w:p w14:paraId="1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 каждые 5 иностранных граждан</w:t>
            </w:r>
          </w:p>
          <w:p w14:paraId="1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 за каждые 5 обучающихся, имеющих диплом другого университета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00000">
            <w:pPr>
              <w:tabs>
                <w:tab w:leader="none" w:pos="19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15</w:t>
            </w:r>
          </w:p>
          <w:p w14:paraId="21000000">
            <w:pPr>
              <w:tabs>
                <w:tab w:leader="none" w:pos="19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10</w:t>
            </w:r>
          </w:p>
          <w:p w14:paraId="22000000">
            <w:pPr>
              <w:tabs>
                <w:tab w:leader="none" w:pos="19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10</w:t>
            </w:r>
          </w:p>
          <w:p w14:paraId="23000000">
            <w:pPr>
              <w:tabs>
                <w:tab w:leader="none" w:pos="19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tabs>
                <w:tab w:leader="none" w:pos="19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Проректор по образовательной деятельности и </w:t>
            </w:r>
            <w:r>
              <w:rPr>
                <w:rFonts w:ascii="Times New Roman" w:hAnsi="Times New Roman"/>
                <w:sz w:val="20"/>
              </w:rPr>
              <w:t>цифровизации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tabs>
                <w:tab w:leader="none" w:pos="194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tabs>
                <w:tab w:leader="none" w:pos="194" w:val="left"/>
              </w:tabs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307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спортивно-массовых </w:t>
            </w:r>
            <w:r>
              <w:rPr>
                <w:rFonts w:ascii="Times New Roman" w:hAnsi="Times New Roman"/>
                <w:sz w:val="24"/>
              </w:rPr>
              <w:t>внутривузовских</w:t>
            </w:r>
            <w:r>
              <w:rPr>
                <w:rFonts w:ascii="Times New Roman" w:hAnsi="Times New Roman"/>
                <w:sz w:val="24"/>
              </w:rPr>
              <w:t xml:space="preserve"> мероприятий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/ более 200  чел. 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Департамент организации спортивной деятельности Университета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268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Кураторство сборной команды вуза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Департамент организации спортивной деятельности Университета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268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Баллы ЭК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Верифицирующее лицо, структурное подразделение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 преподавателя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Комментарии</w:t>
            </w:r>
          </w:p>
        </w:tc>
      </w:tr>
      <w:tr>
        <w:trPr>
          <w:trHeight w:hRule="atLeast" w:val="273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тренировочных занятий по видам спорта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Департамент организации спортивной деятельности Университета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560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и проведение мероприятий в рамках </w:t>
            </w:r>
            <w:r>
              <w:rPr>
                <w:rFonts w:ascii="Times New Roman" w:hAnsi="Times New Roman"/>
                <w:sz w:val="24"/>
              </w:rPr>
              <w:t>профориентационной</w:t>
            </w:r>
            <w:r>
              <w:rPr>
                <w:rFonts w:ascii="Times New Roman" w:hAnsi="Times New Roman"/>
                <w:sz w:val="24"/>
              </w:rPr>
              <w:t xml:space="preserve"> и рекламно-информационной работы (за каждое мероприятие: день открытых дверей факультета (кафедры), экскурсия, олимпиада, конкурс)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на коллектив организаторов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Центр организации приема, курирующий проректор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271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функций заместителя заведующего кафедрой по воспитательной работе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6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Заведующий кафедрой, декан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300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функций заместителя заведующего кафедрой по учебно-методической работе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9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Заведующий кафедрой, декан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300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ответственного за сопровождение и обновление электронного образовательного ресурса в Moodle.voenmeh.ru на кафедре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Департамент образовательных технологий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300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ответственного по кафедре (факультету) за научно-техническое творчество молодежи, </w:t>
            </w:r>
            <w:r>
              <w:rPr>
                <w:rFonts w:ascii="Times New Roman" w:hAnsi="Times New Roman"/>
                <w:sz w:val="24"/>
              </w:rPr>
              <w:t>грантовую</w:t>
            </w:r>
            <w:r>
              <w:rPr>
                <w:rFonts w:ascii="Times New Roman" w:hAnsi="Times New Roman"/>
                <w:sz w:val="24"/>
              </w:rPr>
              <w:t xml:space="preserve"> и конкурсную деятельность работников и обучающихся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Декан, Центр научно-технического творчества студентов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679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Подготовка, организация общеуниверситетских, факультетских или кафедральных мероприятиях, в том числе культурно-массовых, профилактических и оздоровительных мероприятий (по согласованию с руководителем соответствующего структурного подразделения,  внесенных в план университета, факультета или структурного подразделения)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Курирующий проректор, декан, заведующий кафедрой</w:t>
            </w:r>
          </w:p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405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00000">
            <w:pPr>
              <w:spacing w:after="0" w:line="240" w:lineRule="auto"/>
              <w:ind w:firstLine="0" w:left="-57" w:right="-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Руководство обучающимися / командами обучающихся, ставшими победителями и призерами олимпиад и творческих конкурсов (оценивается по количеству мероприятий):</w:t>
            </w:r>
          </w:p>
          <w:p w14:paraId="5B000000">
            <w:pPr>
              <w:spacing w:after="0" w:line="240" w:lineRule="auto"/>
              <w:ind w:firstLine="0" w:left="-57" w:right="-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Международного уровня</w:t>
            </w:r>
          </w:p>
          <w:p w14:paraId="5C000000">
            <w:pPr>
              <w:spacing w:after="0" w:line="240" w:lineRule="auto"/>
              <w:ind w:firstLine="0" w:left="-57" w:right="-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Всероссийского уровня</w:t>
            </w:r>
          </w:p>
          <w:p w14:paraId="5D000000">
            <w:pPr>
              <w:spacing w:after="0" w:line="240" w:lineRule="auto"/>
              <w:ind w:firstLine="0" w:left="-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Регионального уровня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/ 6</w:t>
            </w:r>
          </w:p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/ 4</w:t>
            </w:r>
          </w:p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/ 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за олимпиадную деятельность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405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Баллы ЭК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Верифицирующее лицо, структурное подразделение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 преподавателя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Комментарии</w:t>
            </w:r>
          </w:p>
        </w:tc>
      </w:tr>
      <w:tr>
        <w:trPr>
          <w:trHeight w:hRule="atLeast" w:val="405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(научное руководство) молодых учёных – победителей молодежных конкурсов и обладателей молодёжных грантов:</w:t>
            </w:r>
          </w:p>
          <w:p w14:paraId="6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молодежные премии Президента РФ, Правительства РФ, Государственная премия РФ для молодых ученых</w:t>
            </w:r>
          </w:p>
          <w:p w14:paraId="6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научные гранты и премии Президента РФ, Правительства РФ, </w:t>
            </w:r>
          </w:p>
          <w:p w14:paraId="6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научные гранты и премии Правительства Санкт-Петербурга, губернатора Санкт-Петербурга (включая Комитет по науке и высшей школе);</w:t>
            </w:r>
          </w:p>
          <w:p w14:paraId="6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научные гранты других федеральных и региональных органов исполнительной власти;</w:t>
            </w:r>
          </w:p>
          <w:p w14:paraId="6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научные гранты и конкурсы Российской академии наук (РАН), Российской академии ракетных и артиллерийских наук (РАРАН);</w:t>
            </w:r>
          </w:p>
          <w:p w14:paraId="7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научные гранты и конкурсы Российского научного фонда, Российского фонда фундаментальных исследований, Фонда содействия инновациям, фонда «</w:t>
            </w:r>
            <w:r>
              <w:rPr>
                <w:rFonts w:ascii="Times New Roman" w:hAnsi="Times New Roman"/>
                <w:sz w:val="24"/>
              </w:rPr>
              <w:t>Иннопрактика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14:paraId="7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научные гранты и конкурсы других организаций;</w:t>
            </w:r>
          </w:p>
          <w:p w14:paraId="72000000">
            <w:pPr>
              <w:spacing w:after="0" w:line="240" w:lineRule="auto"/>
              <w:ind w:firstLine="0" w:left="-57" w:right="-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научные гранты большого финансового объема (1 млн. руб. и более)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Проректор по научной работе и инновационному развитию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326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Публикация статей в журналах и сборниках научных трудов (с указание принадлежности автора к </w:t>
            </w:r>
            <w:r>
              <w:rPr>
                <w:rFonts w:ascii="Times New Roman" w:hAnsi="Times New Roman"/>
                <w:sz w:val="24"/>
              </w:rPr>
              <w:t>Университету)*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8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 журналах, индексируемых SCOPUS, </w:t>
            </w:r>
            <w:r>
              <w:rPr>
                <w:rFonts w:ascii="Times New Roman" w:hAnsi="Times New Roman"/>
                <w:sz w:val="24"/>
              </w:rPr>
              <w:t>Web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of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Science</w:t>
            </w:r>
            <w:r>
              <w:rPr>
                <w:rFonts w:ascii="Times New Roman" w:hAnsi="Times New Roman"/>
                <w:sz w:val="24"/>
              </w:rPr>
              <w:t xml:space="preserve"> (Q1 / Q2 / Q3 / Q4 / Q0)</w:t>
            </w:r>
          </w:p>
          <w:p w14:paraId="8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 зарубежных изданиях</w:t>
            </w:r>
          </w:p>
          <w:p w14:paraId="8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 журналах и изданиях, рекомендуемых ВАК </w:t>
            </w:r>
            <w:r>
              <w:rPr>
                <w:rFonts w:ascii="Times New Roman" w:hAnsi="Times New Roman"/>
                <w:sz w:val="24"/>
              </w:rPr>
              <w:t>Минобрнауки</w:t>
            </w:r>
            <w:r>
              <w:rPr>
                <w:rFonts w:ascii="Times New Roman" w:hAnsi="Times New Roman"/>
                <w:sz w:val="24"/>
              </w:rPr>
              <w:t xml:space="preserve"> России для публикации основных научных результатов, включая  издания, предназначенные для публикации сведений ограниченного доступа  (К1 / К2 / К3)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10/6/4/3/3</w:t>
            </w:r>
          </w:p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3/2,5/2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Библиотека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326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Публикация статьи в журнале «ВОЕНМЕХ. Вестник Балтийского государственного технического университета», а также в других журналах, издаваемых в Университете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Библиотека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326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Востребованность публикационной активности преподавателя:</w:t>
            </w:r>
          </w:p>
          <w:p w14:paraId="8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количество ссылок на публикации автора в РИНЦ за год, предшествующий подотчетному;</w:t>
            </w:r>
          </w:p>
          <w:p w14:paraId="9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количество ссылок на публикации автора в SCOPUS или </w:t>
            </w:r>
            <w:r>
              <w:rPr>
                <w:rFonts w:ascii="Times New Roman" w:hAnsi="Times New Roman"/>
                <w:sz w:val="24"/>
              </w:rPr>
              <w:t>Web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of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Science</w:t>
            </w:r>
            <w:r>
              <w:rPr>
                <w:rFonts w:ascii="Times New Roman" w:hAnsi="Times New Roman"/>
                <w:sz w:val="24"/>
              </w:rPr>
              <w:t xml:space="preserve"> (без дублирования) за год, предшествующий подотчетному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00000">
            <w:pPr>
              <w:spacing w:after="0" w:line="240" w:lineRule="auto"/>
              <w:ind w:firstLine="0" w:left="-7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за каждые 40 шт.</w:t>
            </w:r>
          </w:p>
          <w:p w14:paraId="92000000">
            <w:pPr>
              <w:spacing w:after="0" w:line="240" w:lineRule="auto"/>
              <w:ind w:firstLine="0" w:left="-7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за каждые 20 шт.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Библиотека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ind w:firstLine="0" w:left="-7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ind w:firstLine="0" w:left="-74"/>
              <w:jc w:val="center"/>
              <w:rPr>
                <w:sz w:val="16"/>
              </w:rPr>
            </w:pPr>
          </w:p>
        </w:tc>
      </w:tr>
      <w:tr>
        <w:trPr>
          <w:trHeight w:hRule="atLeast" w:val="847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Баллы ЭК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Верифицирующее лицо, структурное подразделение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 преподавателя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Комментарии</w:t>
            </w:r>
          </w:p>
        </w:tc>
      </w:tr>
      <w:tr>
        <w:trPr>
          <w:trHeight w:hRule="atLeast" w:val="525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Выступление на конференциях с последующей публикацией тезисов в материалах конференций в сборниках, индексируемых в РИНЦ, либо в других базах научного цитирования (объемом более 0,1 </w:t>
            </w:r>
            <w:r>
              <w:rPr>
                <w:rFonts w:ascii="Times New Roman" w:hAnsi="Times New Roman"/>
                <w:sz w:val="24"/>
              </w:rPr>
              <w:t>усл.печ</w:t>
            </w:r>
            <w:r>
              <w:rPr>
                <w:rFonts w:ascii="Times New Roman" w:hAnsi="Times New Roman"/>
                <w:sz w:val="24"/>
              </w:rPr>
              <w:t>.лист</w:t>
            </w:r>
            <w:r>
              <w:rPr>
                <w:rFonts w:ascii="Times New Roman" w:hAnsi="Times New Roman"/>
                <w:sz w:val="24"/>
              </w:rPr>
              <w:t>):</w:t>
            </w:r>
          </w:p>
          <w:p w14:paraId="9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зарубежных и международных</w:t>
            </w:r>
          </w:p>
          <w:p w14:paraId="9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всероссийских</w:t>
            </w:r>
          </w:p>
          <w:p w14:paraId="9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региональных и межвузовских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A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A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Библиотека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370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редколлегиях и редсоветах научных журналов, сборников научных трудов:</w:t>
            </w:r>
          </w:p>
          <w:p w14:paraId="A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главный (заместитель) редактор</w:t>
            </w:r>
          </w:p>
          <w:p w14:paraId="A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член редакционной коллегии (совета)</w:t>
            </w:r>
          </w:p>
          <w:p w14:paraId="A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технический редактор/ответственный секретарь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A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A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Библиотека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370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редколлегии журнала «ВОЕНМЕХ. Вестник Балтийского государственного технического университета», а также в других журналах, издаваемых в Университете:</w:t>
            </w:r>
          </w:p>
          <w:p w14:paraId="B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главный (заместитель) редактор</w:t>
            </w:r>
          </w:p>
          <w:p w14:paraId="B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член редакционной коллегии (совета)</w:t>
            </w:r>
          </w:p>
          <w:p w14:paraId="B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технический редактор/ответственный секретарь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B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B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Библиотека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370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Рецензирование статьи для журнала «ВОЕНМЕХ. Вестник Балтийского государственного технического университета», а также в других журналах, издаваемых в Университете  (за рецензию)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Библиотека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370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Издание монографий**, учебников* (с указанием принадлежности автора к университету),  учтенных в библиотеке Университета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1,5 балла за каждый </w:t>
            </w:r>
            <w:r>
              <w:rPr>
                <w:rFonts w:ascii="Times New Roman" w:hAnsi="Times New Roman"/>
                <w:sz w:val="24"/>
              </w:rPr>
              <w:t>усл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печ.лист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Библиотека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370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Издание  учебных пособий, практикумов (практическое пособие, лабораторный практикум, тексты лекций, сборник задач) (с указанием принадлежности автора к университету),  учтенных в библиотеке Университета*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00000">
            <w:pPr>
              <w:spacing w:after="0" w:line="240" w:lineRule="auto"/>
              <w:ind w:right="-1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балл за </w:t>
            </w:r>
            <w:r>
              <w:rPr>
                <w:rFonts w:ascii="Times New Roman" w:hAnsi="Times New Roman"/>
                <w:sz w:val="24"/>
              </w:rPr>
              <w:t>усл.печ.лист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Библиотека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ind w:right="-11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ind w:right="-115"/>
              <w:jc w:val="center"/>
              <w:rPr>
                <w:sz w:val="16"/>
              </w:rPr>
            </w:pPr>
          </w:p>
        </w:tc>
      </w:tr>
      <w:tr>
        <w:trPr>
          <w:trHeight w:hRule="atLeast" w:val="370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Издание методических указаний (с указанием принадлежности автора к университету), учтенных в библиотеке Университета*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0.5 балла за каждый </w:t>
            </w:r>
            <w:r>
              <w:rPr>
                <w:rFonts w:ascii="Times New Roman" w:hAnsi="Times New Roman"/>
                <w:sz w:val="24"/>
              </w:rPr>
              <w:t>усл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печ.лист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Библиотека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370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Баллы ЭК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Верифицирующее лицо, структурное подразделение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 преподавателя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Комментарии</w:t>
            </w:r>
          </w:p>
        </w:tc>
      </w:tr>
      <w:tr>
        <w:trPr>
          <w:trHeight w:hRule="atLeast" w:val="370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Издание хрестоматий, словарей, глоссариев, учтенных в библиотеке Университета*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0,4 балла за каждый </w:t>
            </w:r>
            <w:r>
              <w:rPr>
                <w:rFonts w:ascii="Times New Roman" w:hAnsi="Times New Roman"/>
                <w:sz w:val="24"/>
              </w:rPr>
              <w:t>усл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печ.лист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Библиотека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370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полученных охранных документов на результаты интеллектуальной деятельности (РИД), заявленные от университета:</w:t>
            </w:r>
          </w:p>
          <w:p w14:paraId="D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патенты и свидетельства на открытия, изобретения;</w:t>
            </w:r>
          </w:p>
          <w:p w14:paraId="D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патенты и свидетельства на открытия, изобретения, заявленные от университета и учтенные при выполнении показателей результативности по НИОКТР университета;</w:t>
            </w:r>
          </w:p>
          <w:p w14:paraId="D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патенты и свидетельства на открытия, изобретения, на которые оформлены лицензионные соглашения о передаче прав на результаты интеллектуальной деятельности;</w:t>
            </w:r>
          </w:p>
          <w:p w14:paraId="D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свидетельства на полезные модели, комплексы программ, другие РИД;</w:t>
            </w:r>
          </w:p>
          <w:p w14:paraId="D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свидетельства на полезные модели, комплексы программ, другие РИД, заявленные от университета, на которые оформлены лицензионные соглашения о передаче прав на результаты интеллектуальной деятельности;</w:t>
            </w:r>
          </w:p>
          <w:p w14:paraId="E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свидетельства на полезные модели, комплексы программ, другие РИД, заявленные от университета, на которые оформлены лицензионные соглашения о передаче прав на результаты интеллектуальной деятельности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14:paraId="E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14:paraId="E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  <w:p w14:paraId="E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E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E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14:paraId="E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Проректор по научной работе и инновационному развитию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370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отзывов (по поручению руководства):</w:t>
            </w:r>
          </w:p>
          <w:p w14:paraId="F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ведущей организации на докторскую диссертацию</w:t>
            </w:r>
          </w:p>
          <w:p w14:paraId="F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ведущей организации на кандидатскую диссертацию</w:t>
            </w:r>
          </w:p>
          <w:p w14:paraId="F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официального оппонента на докторскую диссертацию</w:t>
            </w:r>
          </w:p>
          <w:p w14:paraId="F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официального оппонента на кандидатскую диссертацию</w:t>
            </w:r>
          </w:p>
          <w:p w14:paraId="F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автореферат докторской диссертации</w:t>
            </w:r>
          </w:p>
          <w:p w14:paraId="F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автореферат кандидатской диссертации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F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F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F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F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F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Проректор по научной работе и инновационному развитию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370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отзывов на работы, содержащие сведения ограниченного доступа (по поручению руководства):</w:t>
            </w:r>
          </w:p>
          <w:p w14:paraId="0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ведущей организации на докторскую диссертацию</w:t>
            </w:r>
          </w:p>
          <w:p w14:paraId="0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ведущей организации на кандидатскую диссертацию</w:t>
            </w:r>
          </w:p>
          <w:p w14:paraId="03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официального оппонента на докторскую диссертацию</w:t>
            </w:r>
          </w:p>
          <w:p w14:paraId="0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официального оппонента на кандидатскую диссертацию</w:t>
            </w:r>
          </w:p>
          <w:p w14:paraId="0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автореферат докторской диссертации</w:t>
            </w:r>
          </w:p>
          <w:p w14:paraId="0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автореферат кандидатской диссертации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0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0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0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0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0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Проректор по научной работе и инновационному развитию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370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работе диссертационных советов Университета по защите диссертаций в качестве (при наличии защит):</w:t>
            </w:r>
          </w:p>
          <w:p w14:paraId="13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председателя / заместителя председателя</w:t>
            </w:r>
          </w:p>
          <w:p w14:paraId="1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ученого секретаря диссертационного совета</w:t>
            </w:r>
          </w:p>
          <w:p w14:paraId="1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члена экспертной комиссии</w:t>
            </w:r>
          </w:p>
          <w:p w14:paraId="1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члена совета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1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балла за каждую защиту</w:t>
            </w:r>
          </w:p>
          <w:p w14:paraId="1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1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Проректор по научной работе и инновационному развитию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370"/>
        </w:trPr>
        <w:tc>
          <w:tcPr>
            <w:tcW w:type="dxa" w:w="8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Руководство студенческими научными обществами</w:t>
            </w:r>
          </w:p>
          <w:p w14:paraId="1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 количеством публикаций, призовых дипломов, охранных документов на РИД до 3 за отчетный период;</w:t>
            </w:r>
          </w:p>
          <w:p w14:paraId="2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 количеством публикаций, призовых дипломов, охранных документов на РИД от 4 до 10 за отчетный период;</w:t>
            </w:r>
          </w:p>
          <w:p w14:paraId="2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 количеством публикаций, призовых дипломов, охранных документов на РИД более 10 за отчетный период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2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14:paraId="2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Центр научно-технического творчества студентов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ind/>
              <w:jc w:val="center"/>
              <w:rPr>
                <w:sz w:val="16"/>
              </w:rPr>
            </w:pPr>
          </w:p>
        </w:tc>
      </w:tr>
    </w:tbl>
    <w:p w14:paraId="28010000">
      <w:pPr>
        <w:rPr>
          <w:sz w:val="12"/>
        </w:rPr>
      </w:pPr>
    </w:p>
    <w:p w14:paraId="29010000">
      <w:pPr>
        <w:rPr>
          <w:sz w:val="12"/>
        </w:rPr>
      </w:pPr>
    </w:p>
    <w:p w14:paraId="2A010000">
      <w:pPr>
        <w:pStyle w:val="Style_2"/>
        <w:spacing w:after="0" w:line="240" w:lineRule="auto"/>
        <w:ind w:firstLine="0" w:left="567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*при количестве авторов более 3 (трех) итоговый балл рассчитывается по формуле:</w:t>
      </w:r>
    </w:p>
    <w:p w14:paraId="2B010000">
      <w:pPr>
        <w:pStyle w:val="Style_2"/>
        <w:spacing w:after="0" w:line="240" w:lineRule="auto"/>
        <w:ind w:firstLine="0" w:left="567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Итоговый балл работника = (Балл*3)/количество авторов.</w:t>
      </w:r>
    </w:p>
    <w:p w14:paraId="2C010000">
      <w:pPr>
        <w:pStyle w:val="Style_2"/>
        <w:spacing w:after="0" w:line="240" w:lineRule="auto"/>
        <w:ind w:firstLine="0" w:left="567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Для работников, выступающих соавторами трудов, численностью до 3 (трех) человек включительно, указанные в таблице баллы получает каждый работник.</w:t>
      </w:r>
    </w:p>
    <w:p w14:paraId="2D010000">
      <w:pPr>
        <w:pStyle w:val="Style_2"/>
        <w:spacing w:after="0" w:line="240" w:lineRule="auto"/>
        <w:ind w:firstLine="0" w:left="567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**Для монографий при количестве авторов более 3 (трех) итоговый балл рассчитывается по формуле:</w:t>
      </w:r>
    </w:p>
    <w:p w14:paraId="2E010000">
      <w:pPr>
        <w:pStyle w:val="Style_2"/>
        <w:spacing w:after="0" w:line="240" w:lineRule="auto"/>
        <w:ind w:firstLine="0" w:left="567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Итоговый балл работника = (Балл*2)/количество авторов.</w:t>
      </w:r>
    </w:p>
    <w:p w14:paraId="2F010000"/>
    <w:sectPr>
      <w:pgSz w:h="11906" w:orient="landscape" w:w="16838"/>
      <w:pgMar w:bottom="993" w:footer="708" w:gutter="0" w:header="708" w:left="426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3"/>
    <w:link w:val="Style_10_ch"/>
    <w:pPr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3_ch"/>
    <w:link w:val="Style_10"/>
    <w:rPr>
      <w:rFonts w:ascii="Segoe UI" w:hAnsi="Segoe UI"/>
      <w:sz w:val="18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2" w:type="paragraph">
    <w:name w:val="List Paragraph"/>
    <w:basedOn w:val="Style_3"/>
    <w:link w:val="Style_2_ch"/>
    <w:pPr>
      <w:spacing w:after="200" w:line="276" w:lineRule="auto"/>
      <w:ind w:firstLine="0" w:left="720"/>
      <w:contextualSpacing w:val="1"/>
    </w:pPr>
    <w:rPr>
      <w:rFonts w:ascii="Calibri" w:hAnsi="Calibri"/>
    </w:rPr>
  </w:style>
  <w:style w:styleId="Style_2_ch" w:type="character">
    <w:name w:val="List Paragraph"/>
    <w:basedOn w:val="Style_3_ch"/>
    <w:link w:val="Style_2"/>
    <w:rPr>
      <w:rFonts w:ascii="Calibri" w:hAnsi="Calibri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MyOffice-CoreFramework-Android/31-1191.801.8978.819.1@3a1110cd217cfef7bfaea0d80df387ac68f3aaa9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2023-12-22T11:06:49Z</dcterms:modified>
</cp:coreProperties>
</file>